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160" w:rsidRDefault="00652160" w:rsidP="00652160">
      <w:pPr>
        <w:rPr>
          <w:rFonts w:ascii="Tahoma" w:eastAsia="Times New Roman" w:hAnsi="Tahoma" w:cs="Tahoma"/>
          <w:sz w:val="20"/>
          <w:szCs w:val="20"/>
        </w:rPr>
      </w:pPr>
      <w:bookmarkStart w:id="0" w:name="_MailOriginal"/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Fallon-Houle, Nancy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Wednesday, March 19, 2014 1:03 AM</w:t>
      </w:r>
      <w:proofErr w:type="gramStart"/>
      <w:r>
        <w:rPr>
          <w:rFonts w:ascii="Tahoma" w:eastAsia="Times New Roman" w:hAnsi="Tahoma" w:cs="Tahoma"/>
          <w:sz w:val="20"/>
          <w:szCs w:val="20"/>
        </w:rPr>
        <w:t>)</w:t>
      </w:r>
      <w:proofErr w:type="gramEnd"/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Investor Counting Rules for 3(c)(1) Fund</w:t>
      </w:r>
    </w:p>
    <w:p w:rsidR="00652160" w:rsidRDefault="00652160" w:rsidP="00652160"/>
    <w:p w:rsidR="00652160" w:rsidRDefault="00652160" w:rsidP="00C60E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Counting Rules for a 3(c</w:t>
      </w:r>
      <w:proofErr w:type="gramStart"/>
      <w:r>
        <w:rPr>
          <w:rFonts w:ascii="Arial" w:hAnsi="Arial" w:cs="Arial"/>
          <w:sz w:val="20"/>
          <w:szCs w:val="20"/>
        </w:rPr>
        <w:t>)(</w:t>
      </w:r>
      <w:proofErr w:type="gramEnd"/>
      <w:r>
        <w:rPr>
          <w:rFonts w:ascii="Arial" w:hAnsi="Arial" w:cs="Arial"/>
          <w:sz w:val="20"/>
          <w:szCs w:val="20"/>
        </w:rPr>
        <w:t xml:space="preserve">1) Fund. The maximum number of “beneficial owner” investors is 100 (“not more than 100”), so you can </w:t>
      </w:r>
      <w:r w:rsidR="00C60E46">
        <w:rPr>
          <w:rFonts w:ascii="Arial" w:hAnsi="Arial" w:cs="Arial"/>
          <w:sz w:val="20"/>
          <w:szCs w:val="20"/>
        </w:rPr>
        <w:t>have</w:t>
      </w:r>
      <w:r>
        <w:rPr>
          <w:rFonts w:ascii="Arial" w:hAnsi="Arial" w:cs="Arial"/>
          <w:sz w:val="20"/>
          <w:szCs w:val="20"/>
        </w:rPr>
        <w:t xml:space="preserve"> 100</w:t>
      </w:r>
      <w:r w:rsidR="00C60E46">
        <w:rPr>
          <w:rFonts w:ascii="Arial" w:hAnsi="Arial" w:cs="Arial"/>
          <w:sz w:val="20"/>
          <w:szCs w:val="20"/>
        </w:rPr>
        <w:t xml:space="preserve"> beneficial owners.</w:t>
      </w:r>
    </w:p>
    <w:p w:rsidR="00652160" w:rsidRDefault="00652160" w:rsidP="00652160">
      <w:pPr>
        <w:rPr>
          <w:rFonts w:ascii="Arial" w:hAnsi="Arial" w:cs="Arial"/>
          <w:sz w:val="20"/>
          <w:szCs w:val="20"/>
        </w:rPr>
      </w:pPr>
    </w:p>
    <w:p w:rsidR="00652160" w:rsidRDefault="00652160" w:rsidP="006521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Counting Rules toward the 100:</w:t>
      </w:r>
    </w:p>
    <w:p w:rsidR="00652160" w:rsidRDefault="00652160" w:rsidP="00652160">
      <w:pPr>
        <w:rPr>
          <w:rFonts w:ascii="Arial" w:hAnsi="Arial" w:cs="Arial"/>
          <w:sz w:val="20"/>
          <w:szCs w:val="20"/>
        </w:rPr>
      </w:pPr>
    </w:p>
    <w:p w:rsidR="00652160" w:rsidRDefault="00652160" w:rsidP="00652160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Related Party Investors</w:t>
      </w:r>
    </w:p>
    <w:p w:rsidR="00652160" w:rsidRDefault="00652160" w:rsidP="0065216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Exclude the fund’s General Partner or Managing Member’s accounts (don’t count any investment accounts held by </w:t>
      </w:r>
      <w:r w:rsidR="00C60E46">
        <w:rPr>
          <w:rFonts w:ascii="Arial" w:hAnsi="Arial" w:cs="Arial"/>
          <w:sz w:val="20"/>
          <w:szCs w:val="20"/>
        </w:rPr>
        <w:t xml:space="preserve">Fund </w:t>
      </w:r>
      <w:proofErr w:type="spellStart"/>
      <w:r w:rsidR="00C60E46">
        <w:rPr>
          <w:rFonts w:ascii="Arial" w:hAnsi="Arial" w:cs="Arial"/>
          <w:sz w:val="20"/>
          <w:szCs w:val="20"/>
        </w:rPr>
        <w:t>Manger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:rsidR="00652160" w:rsidRDefault="00652160" w:rsidP="00652160">
      <w:pPr>
        <w:pStyle w:val="ListParagraph"/>
        <w:rPr>
          <w:rFonts w:ascii="Arial" w:hAnsi="Arial" w:cs="Arial"/>
          <w:sz w:val="20"/>
          <w:szCs w:val="20"/>
        </w:rPr>
      </w:pPr>
    </w:p>
    <w:p w:rsidR="00652160" w:rsidRDefault="00652160" w:rsidP="0065216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Exclude “knowledgeable employees” accounts (Officers or Managing Members) (don’t count accounts of </w:t>
      </w:r>
      <w:r w:rsidR="00C60E46">
        <w:rPr>
          <w:rFonts w:ascii="Arial" w:hAnsi="Arial" w:cs="Arial"/>
          <w:sz w:val="20"/>
          <w:szCs w:val="20"/>
        </w:rPr>
        <w:t>owners and officers of Fund Manager</w:t>
      </w:r>
      <w:r>
        <w:rPr>
          <w:rFonts w:ascii="Arial" w:hAnsi="Arial" w:cs="Arial"/>
          <w:sz w:val="20"/>
          <w:szCs w:val="20"/>
        </w:rPr>
        <w:t>).</w:t>
      </w:r>
    </w:p>
    <w:p w:rsidR="00652160" w:rsidRDefault="00652160" w:rsidP="0065216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However, </w:t>
      </w:r>
      <w:r>
        <w:rPr>
          <w:rFonts w:ascii="Arial" w:hAnsi="Arial" w:cs="Arial"/>
          <w:b/>
          <w:bCs/>
          <w:sz w:val="20"/>
          <w:szCs w:val="20"/>
          <w:u w:val="single"/>
        </w:rPr>
        <w:t>do</w:t>
      </w:r>
      <w:r>
        <w:rPr>
          <w:rFonts w:ascii="Arial" w:hAnsi="Arial" w:cs="Arial"/>
          <w:sz w:val="20"/>
          <w:szCs w:val="20"/>
        </w:rPr>
        <w:t xml:space="preserve"> count the accounts of the other </w:t>
      </w:r>
      <w:r w:rsidR="00C60E46">
        <w:rPr>
          <w:rFonts w:ascii="Arial" w:hAnsi="Arial" w:cs="Arial"/>
          <w:sz w:val="20"/>
          <w:szCs w:val="20"/>
        </w:rPr>
        <w:t>family members of the managers, even if they</w:t>
      </w:r>
      <w:r>
        <w:rPr>
          <w:rFonts w:ascii="Arial" w:hAnsi="Arial" w:cs="Arial"/>
          <w:sz w:val="20"/>
          <w:szCs w:val="20"/>
        </w:rPr>
        <w:t xml:space="preserve"> do work for the funds, </w:t>
      </w:r>
      <w:r w:rsidR="00C60E46">
        <w:rPr>
          <w:rFonts w:ascii="Arial" w:hAnsi="Arial" w:cs="Arial"/>
          <w:sz w:val="20"/>
          <w:szCs w:val="20"/>
        </w:rPr>
        <w:t>if they</w:t>
      </w:r>
      <w:r>
        <w:rPr>
          <w:rFonts w:ascii="Arial" w:hAnsi="Arial" w:cs="Arial"/>
          <w:sz w:val="20"/>
          <w:szCs w:val="20"/>
        </w:rPr>
        <w:t xml:space="preserve"> are not Officers or Managers</w:t>
      </w:r>
      <w:r w:rsidR="00C60E46">
        <w:rPr>
          <w:rFonts w:ascii="Arial" w:hAnsi="Arial" w:cs="Arial"/>
          <w:sz w:val="20"/>
          <w:szCs w:val="20"/>
        </w:rPr>
        <w:t>.</w:t>
      </w:r>
    </w:p>
    <w:p w:rsidR="00652160" w:rsidRDefault="00652160" w:rsidP="00652160">
      <w:pPr>
        <w:ind w:left="1080"/>
        <w:rPr>
          <w:rFonts w:ascii="Arial" w:hAnsi="Arial" w:cs="Arial"/>
          <w:sz w:val="20"/>
          <w:szCs w:val="20"/>
        </w:rPr>
      </w:pPr>
    </w:p>
    <w:p w:rsidR="00652160" w:rsidRDefault="00652160" w:rsidP="0065216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Exclude the IRAs and retirement accounts of </w:t>
      </w:r>
      <w:r w:rsidR="00C60E46">
        <w:rPr>
          <w:rFonts w:ascii="Arial" w:hAnsi="Arial" w:cs="Arial"/>
          <w:sz w:val="20"/>
          <w:szCs w:val="20"/>
        </w:rPr>
        <w:t>the managers of the manager</w:t>
      </w:r>
    </w:p>
    <w:p w:rsidR="00652160" w:rsidRDefault="00652160" w:rsidP="00652160">
      <w:pPr>
        <w:pStyle w:val="ListParagraph"/>
        <w:rPr>
          <w:rFonts w:ascii="Arial" w:hAnsi="Arial" w:cs="Arial"/>
          <w:sz w:val="20"/>
          <w:szCs w:val="20"/>
        </w:rPr>
      </w:pPr>
    </w:p>
    <w:p w:rsidR="00C60E46" w:rsidRDefault="00652160" w:rsidP="0065216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Exclude any entity investors of which either </w:t>
      </w:r>
      <w:r w:rsidR="00C60E46">
        <w:rPr>
          <w:rFonts w:ascii="Arial" w:hAnsi="Arial" w:cs="Arial"/>
          <w:sz w:val="20"/>
          <w:szCs w:val="20"/>
        </w:rPr>
        <w:t>the mangers of manager</w:t>
      </w:r>
      <w:r>
        <w:rPr>
          <w:rFonts w:ascii="Arial" w:hAnsi="Arial" w:cs="Arial"/>
          <w:sz w:val="20"/>
          <w:szCs w:val="20"/>
        </w:rPr>
        <w:t xml:space="preserve"> are the sole owner, or them with their spouses, or any entity owned by one or more of them with their spouses, and </w:t>
      </w:r>
      <w:r w:rsidR="00C60E46">
        <w:rPr>
          <w:rFonts w:ascii="Arial" w:hAnsi="Arial" w:cs="Arial"/>
          <w:sz w:val="20"/>
          <w:szCs w:val="20"/>
        </w:rPr>
        <w:t>they</w:t>
      </w:r>
      <w:r>
        <w:rPr>
          <w:rFonts w:ascii="Arial" w:hAnsi="Arial" w:cs="Arial"/>
          <w:sz w:val="20"/>
          <w:szCs w:val="20"/>
        </w:rPr>
        <w:t xml:space="preserve"> make the investment decisions.  </w:t>
      </w:r>
    </w:p>
    <w:p w:rsidR="00C60E46" w:rsidRPr="00C60E46" w:rsidRDefault="00C60E46" w:rsidP="00C60E46">
      <w:pPr>
        <w:pStyle w:val="ListParagraph"/>
        <w:rPr>
          <w:rFonts w:ascii="Arial" w:hAnsi="Arial" w:cs="Arial"/>
          <w:sz w:val="20"/>
          <w:szCs w:val="20"/>
        </w:rPr>
      </w:pPr>
    </w:p>
    <w:p w:rsidR="00652160" w:rsidRDefault="00652160" w:rsidP="0065216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Exclude any “family investment company” in which </w:t>
      </w:r>
      <w:r w:rsidR="00C60E46">
        <w:rPr>
          <w:rFonts w:ascii="Arial" w:hAnsi="Arial" w:cs="Arial"/>
          <w:sz w:val="20"/>
          <w:szCs w:val="20"/>
        </w:rPr>
        <w:t>the managers of manager and</w:t>
      </w:r>
      <w:r>
        <w:rPr>
          <w:rFonts w:ascii="Arial" w:hAnsi="Arial" w:cs="Arial"/>
          <w:sz w:val="20"/>
          <w:szCs w:val="20"/>
        </w:rPr>
        <w:t xml:space="preserve">/or </w:t>
      </w:r>
      <w:r w:rsidR="00C60E46">
        <w:rPr>
          <w:rFonts w:ascii="Arial" w:hAnsi="Arial" w:cs="Arial"/>
          <w:sz w:val="20"/>
          <w:szCs w:val="20"/>
        </w:rPr>
        <w:t xml:space="preserve">their </w:t>
      </w:r>
      <w:r>
        <w:rPr>
          <w:rFonts w:ascii="Arial" w:hAnsi="Arial" w:cs="Arial"/>
          <w:sz w:val="20"/>
          <w:szCs w:val="20"/>
        </w:rPr>
        <w:t xml:space="preserve">spouse contributed the assets, and </w:t>
      </w:r>
      <w:r w:rsidR="00C60E46">
        <w:rPr>
          <w:rFonts w:ascii="Arial" w:hAnsi="Arial" w:cs="Arial"/>
          <w:sz w:val="20"/>
          <w:szCs w:val="20"/>
        </w:rPr>
        <w:t>the manager of manger has</w:t>
      </w:r>
      <w:r>
        <w:rPr>
          <w:rFonts w:ascii="Arial" w:hAnsi="Arial" w:cs="Arial"/>
          <w:sz w:val="20"/>
          <w:szCs w:val="20"/>
        </w:rPr>
        <w:t xml:space="preserve"> the sole authority to make investment decisions.</w:t>
      </w:r>
    </w:p>
    <w:p w:rsidR="00652160" w:rsidRDefault="00652160" w:rsidP="00652160">
      <w:pPr>
        <w:rPr>
          <w:rFonts w:ascii="Arial" w:hAnsi="Arial" w:cs="Arial"/>
          <w:sz w:val="20"/>
          <w:szCs w:val="20"/>
        </w:rPr>
      </w:pPr>
    </w:p>
    <w:p w:rsidR="00652160" w:rsidRDefault="00652160" w:rsidP="0065216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an Officer and his spouse invest jointly, then don’t count the spouse.</w:t>
      </w:r>
      <w:r w:rsidR="00C60E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But </w:t>
      </w:r>
      <w:r>
        <w:rPr>
          <w:rFonts w:ascii="Arial" w:hAnsi="Arial" w:cs="Arial"/>
          <w:i/>
          <w:iCs/>
          <w:sz w:val="20"/>
          <w:szCs w:val="20"/>
          <w:u w:val="single"/>
        </w:rPr>
        <w:t>do</w:t>
      </w:r>
      <w:r>
        <w:rPr>
          <w:rFonts w:ascii="Arial" w:hAnsi="Arial" w:cs="Arial"/>
          <w:sz w:val="20"/>
          <w:szCs w:val="20"/>
        </w:rPr>
        <w:t xml:space="preserve"> count </w:t>
      </w:r>
      <w:r w:rsidR="00C60E46">
        <w:rPr>
          <w:rFonts w:ascii="Arial" w:hAnsi="Arial" w:cs="Arial"/>
          <w:sz w:val="20"/>
          <w:szCs w:val="20"/>
        </w:rPr>
        <w:t>the spouse if she</w:t>
      </w:r>
      <w:r>
        <w:rPr>
          <w:rFonts w:ascii="Arial" w:hAnsi="Arial" w:cs="Arial"/>
          <w:sz w:val="20"/>
          <w:szCs w:val="20"/>
        </w:rPr>
        <w:t xml:space="preserve"> invested in a separate account.</w:t>
      </w:r>
      <w:r w:rsidR="00C60E46">
        <w:rPr>
          <w:rFonts w:ascii="Arial" w:hAnsi="Arial" w:cs="Arial"/>
          <w:sz w:val="20"/>
          <w:szCs w:val="20"/>
        </w:rPr>
        <w:t xml:space="preserve"> (Interesting question if the manager of manager is managing the spouses account)</w:t>
      </w:r>
    </w:p>
    <w:p w:rsidR="00652160" w:rsidRDefault="00652160" w:rsidP="00652160">
      <w:pPr>
        <w:rPr>
          <w:rFonts w:ascii="Arial" w:hAnsi="Arial" w:cs="Arial"/>
          <w:sz w:val="20"/>
          <w:szCs w:val="20"/>
        </w:rPr>
      </w:pPr>
    </w:p>
    <w:p w:rsidR="00652160" w:rsidRDefault="00652160" w:rsidP="00652160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Regular Investors (Not GLL Related Parties):</w:t>
      </w:r>
    </w:p>
    <w:p w:rsidR="00652160" w:rsidRDefault="00652160" w:rsidP="0065216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Where 2 spouses jointly own the interest, count them as 1 investor.</w:t>
      </w:r>
    </w:p>
    <w:p w:rsidR="00652160" w:rsidRDefault="00652160" w:rsidP="00652160">
      <w:pPr>
        <w:pStyle w:val="ListParagraph"/>
        <w:rPr>
          <w:rFonts w:ascii="Arial" w:hAnsi="Arial" w:cs="Arial"/>
          <w:sz w:val="20"/>
          <w:szCs w:val="20"/>
        </w:rPr>
      </w:pPr>
    </w:p>
    <w:p w:rsidR="00652160" w:rsidRDefault="00652160" w:rsidP="0065216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Where 2 spouses each have separate accounts, count them as 2 investors.</w:t>
      </w:r>
    </w:p>
    <w:p w:rsidR="00652160" w:rsidRDefault="00652160" w:rsidP="00652160">
      <w:pPr>
        <w:rPr>
          <w:rFonts w:ascii="Arial" w:hAnsi="Arial" w:cs="Arial"/>
          <w:sz w:val="20"/>
          <w:szCs w:val="20"/>
        </w:rPr>
      </w:pPr>
    </w:p>
    <w:p w:rsidR="00652160" w:rsidRPr="00C60E46" w:rsidRDefault="00652160" w:rsidP="00C60E4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</w:t>
      </w:r>
      <w:r w:rsidR="00C60E46">
        <w:rPr>
          <w:rFonts w:ascii="Arial" w:hAnsi="Arial" w:cs="Arial"/>
          <w:sz w:val="20"/>
          <w:szCs w:val="20"/>
        </w:rPr>
        <w:t>the investor</w:t>
      </w:r>
      <w:r>
        <w:rPr>
          <w:rFonts w:ascii="Arial" w:hAnsi="Arial" w:cs="Arial"/>
          <w:sz w:val="20"/>
          <w:szCs w:val="20"/>
        </w:rPr>
        <w:t xml:space="preserve"> owns one interest jointly with spouse, and he owns another interest separately, only count that </w:t>
      </w:r>
      <w:r w:rsidR="00C60E46">
        <w:rPr>
          <w:rFonts w:ascii="Arial" w:hAnsi="Arial" w:cs="Arial"/>
          <w:sz w:val="20"/>
          <w:szCs w:val="20"/>
        </w:rPr>
        <w:t xml:space="preserve">investor </w:t>
      </w:r>
      <w:r>
        <w:rPr>
          <w:rFonts w:ascii="Arial" w:hAnsi="Arial" w:cs="Arial"/>
          <w:sz w:val="20"/>
          <w:szCs w:val="20"/>
        </w:rPr>
        <w:t>one time as a beneficial owner.</w:t>
      </w:r>
      <w:r>
        <w:rPr>
          <w:rFonts w:ascii="Arial" w:hAnsi="Arial" w:cs="Arial"/>
          <w:color w:val="1F497D" w:themeColor="dark2"/>
          <w:sz w:val="20"/>
          <w:szCs w:val="20"/>
        </w:rPr>
        <w:t xml:space="preserve">  </w:t>
      </w:r>
      <w:r w:rsidR="00C60E46">
        <w:rPr>
          <w:rFonts w:ascii="Arial" w:hAnsi="Arial" w:cs="Arial"/>
          <w:color w:val="1F497D" w:themeColor="dark2"/>
          <w:sz w:val="20"/>
          <w:szCs w:val="20"/>
        </w:rPr>
        <w:t>Don’t count the spouse, unle</w:t>
      </w:r>
      <w:r>
        <w:rPr>
          <w:rFonts w:ascii="Arial" w:hAnsi="Arial" w:cs="Arial"/>
          <w:color w:val="1F497D" w:themeColor="dark2"/>
          <w:sz w:val="20"/>
          <w:szCs w:val="20"/>
        </w:rPr>
        <w:t>ss she has a separate individual account.</w:t>
      </w:r>
      <w:r w:rsidR="00C60E46">
        <w:rPr>
          <w:rFonts w:ascii="Arial" w:hAnsi="Arial" w:cs="Arial"/>
          <w:color w:val="1F497D" w:themeColor="dark2"/>
          <w:sz w:val="20"/>
          <w:szCs w:val="20"/>
        </w:rPr>
        <w:t xml:space="preserve"> </w:t>
      </w:r>
      <w:r w:rsidR="00C60E46" w:rsidRPr="00C60E46">
        <w:rPr>
          <w:rFonts w:ascii="Arial" w:hAnsi="Arial" w:cs="Arial"/>
          <w:color w:val="C00000"/>
          <w:sz w:val="20"/>
          <w:szCs w:val="20"/>
        </w:rPr>
        <w:t>S</w:t>
      </w:r>
      <w:r w:rsidRPr="00C60E46">
        <w:rPr>
          <w:rFonts w:ascii="Arial" w:hAnsi="Arial" w:cs="Arial"/>
          <w:color w:val="C00000"/>
          <w:sz w:val="20"/>
          <w:szCs w:val="20"/>
        </w:rPr>
        <w:t>pouse is excluded from the joint investor count. Therefore John &amp; Mary Smith = 1. Then John Smith separate account, counts as 0, since we counted him already in the joint account.</w:t>
      </w:r>
    </w:p>
    <w:p w:rsidR="00652160" w:rsidRDefault="00652160" w:rsidP="00652160">
      <w:pPr>
        <w:rPr>
          <w:rFonts w:ascii="Arial" w:hAnsi="Arial" w:cs="Arial"/>
          <w:sz w:val="20"/>
          <w:szCs w:val="20"/>
        </w:rPr>
      </w:pPr>
    </w:p>
    <w:p w:rsidR="00652160" w:rsidRDefault="00652160" w:rsidP="0065216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the investor is an entity, don’t count it if it has identical ownership or beneficiaries to another investor, i.e.</w:t>
      </w:r>
    </w:p>
    <w:p w:rsidR="00652160" w:rsidRDefault="00652160" w:rsidP="0065216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Don’t count the IRA of an investor, if the IRA is owned solely by the investor</w:t>
      </w:r>
    </w:p>
    <w:p w:rsidR="00652160" w:rsidRDefault="00652160" w:rsidP="0065216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Don’t count the investor’s investment partnership, LLC or corp, if that entity is owned solely by the one investor</w:t>
      </w:r>
      <w:r w:rsidR="00C60E46">
        <w:rPr>
          <w:rFonts w:ascii="Arial" w:hAnsi="Arial" w:cs="Arial"/>
          <w:sz w:val="20"/>
          <w:szCs w:val="20"/>
        </w:rPr>
        <w:t xml:space="preserve"> (or by a group of investors we already counted elsewhere)</w:t>
      </w:r>
    </w:p>
    <w:p w:rsidR="00652160" w:rsidRDefault="00652160" w:rsidP="00652160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652160" w:rsidRDefault="00652160" w:rsidP="0065216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an investor divorces or dies, and his previous 1 investment, is split into more than one account for the benefit of the divorcee or the deceased investor’s estate, then only count the original investor as 1 investor</w:t>
      </w:r>
      <w:r w:rsidR="00C60E46">
        <w:rPr>
          <w:rFonts w:ascii="Arial" w:hAnsi="Arial" w:cs="Arial"/>
          <w:sz w:val="20"/>
          <w:szCs w:val="20"/>
        </w:rPr>
        <w:t>. Do</w:t>
      </w:r>
      <w:r>
        <w:rPr>
          <w:rFonts w:ascii="Arial" w:hAnsi="Arial" w:cs="Arial"/>
          <w:sz w:val="20"/>
          <w:szCs w:val="20"/>
        </w:rPr>
        <w:t xml:space="preserve"> not </w:t>
      </w:r>
      <w:r w:rsidR="00C60E46">
        <w:rPr>
          <w:rFonts w:ascii="Arial" w:hAnsi="Arial" w:cs="Arial"/>
          <w:sz w:val="20"/>
          <w:szCs w:val="20"/>
        </w:rPr>
        <w:t xml:space="preserve">count </w:t>
      </w:r>
      <w:r>
        <w:rPr>
          <w:rFonts w:ascii="Arial" w:hAnsi="Arial" w:cs="Arial"/>
          <w:sz w:val="20"/>
          <w:szCs w:val="20"/>
        </w:rPr>
        <w:t>the divorcee or the estate. Rule 3(c)(6)</w:t>
      </w:r>
    </w:p>
    <w:p w:rsidR="00652160" w:rsidRDefault="00652160" w:rsidP="00652160">
      <w:pPr>
        <w:pStyle w:val="ListParagraph"/>
        <w:rPr>
          <w:rFonts w:ascii="Arial" w:hAnsi="Arial" w:cs="Arial"/>
          <w:sz w:val="20"/>
          <w:szCs w:val="20"/>
        </w:rPr>
      </w:pPr>
    </w:p>
    <w:p w:rsidR="00652160" w:rsidRDefault="00652160" w:rsidP="0065216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an investor account is a “transferee” (such as a gift to a family trust of the investor’s family, or </w:t>
      </w:r>
      <w:r w:rsidR="00C60E46">
        <w:rPr>
          <w:rFonts w:ascii="Arial" w:hAnsi="Arial" w:cs="Arial"/>
          <w:sz w:val="20"/>
          <w:szCs w:val="20"/>
        </w:rPr>
        <w:t xml:space="preserve">to an investment entity </w:t>
      </w:r>
      <w:r>
        <w:rPr>
          <w:rFonts w:ascii="Arial" w:hAnsi="Arial" w:cs="Arial"/>
          <w:sz w:val="20"/>
          <w:szCs w:val="20"/>
        </w:rPr>
        <w:t xml:space="preserve">owned by the investor, or a donee child of the investor) which received the interests by a gift or bequest from the original investor, then only count the 1 original </w:t>
      </w:r>
      <w:r>
        <w:rPr>
          <w:rFonts w:ascii="Arial" w:hAnsi="Arial" w:cs="Arial"/>
          <w:sz w:val="20"/>
          <w:szCs w:val="20"/>
        </w:rPr>
        <w:lastRenderedPageBreak/>
        <w:t xml:space="preserve">investor/grantor as 1 investor, but don’t count his trusts, donees or </w:t>
      </w:r>
      <w:r w:rsidR="00C60E46">
        <w:rPr>
          <w:rFonts w:ascii="Arial" w:hAnsi="Arial" w:cs="Arial"/>
          <w:sz w:val="20"/>
          <w:szCs w:val="20"/>
        </w:rPr>
        <w:t>entities</w:t>
      </w:r>
      <w:r>
        <w:rPr>
          <w:rFonts w:ascii="Arial" w:hAnsi="Arial" w:cs="Arial"/>
          <w:sz w:val="20"/>
          <w:szCs w:val="20"/>
        </w:rPr>
        <w:t xml:space="preserve"> that received his interests.  </w:t>
      </w:r>
    </w:p>
    <w:p w:rsidR="00652160" w:rsidRDefault="00652160" w:rsidP="00652160">
      <w:pPr>
        <w:pStyle w:val="ListParagraph"/>
        <w:rPr>
          <w:rFonts w:ascii="Arial" w:hAnsi="Arial" w:cs="Arial"/>
          <w:sz w:val="20"/>
          <w:szCs w:val="20"/>
        </w:rPr>
      </w:pPr>
    </w:p>
    <w:p w:rsidR="00652160" w:rsidRDefault="00652160" w:rsidP="0065216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Exclude the donee or transferee only if you have counted the original grantor as an investor already. </w:t>
      </w:r>
    </w:p>
    <w:p w:rsidR="00652160" w:rsidRDefault="00652160" w:rsidP="0065216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Exclude the family trust only if the original investor you counted put the money into the trust or entity. </w:t>
      </w:r>
    </w:p>
    <w:p w:rsidR="00C60E46" w:rsidRDefault="00C60E46" w:rsidP="00C60E46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C60E46" w:rsidRDefault="00652160" w:rsidP="00652160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is not enough that there is a trust or entity</w:t>
      </w:r>
      <w:r w:rsidR="00C60E46">
        <w:rPr>
          <w:rFonts w:ascii="Arial" w:hAnsi="Arial" w:cs="Arial"/>
          <w:sz w:val="20"/>
          <w:szCs w:val="20"/>
        </w:rPr>
        <w:t xml:space="preserve"> in existence</w:t>
      </w:r>
      <w:r>
        <w:rPr>
          <w:rFonts w:ascii="Arial" w:hAnsi="Arial" w:cs="Arial"/>
          <w:sz w:val="20"/>
          <w:szCs w:val="20"/>
        </w:rPr>
        <w:t xml:space="preserve">, but </w:t>
      </w:r>
      <w:r w:rsidR="00C60E46">
        <w:rPr>
          <w:rFonts w:ascii="Arial" w:hAnsi="Arial" w:cs="Arial"/>
          <w:sz w:val="20"/>
          <w:szCs w:val="20"/>
        </w:rPr>
        <w:t xml:space="preserve">requirement is that </w:t>
      </w:r>
      <w:r>
        <w:rPr>
          <w:rFonts w:ascii="Arial" w:hAnsi="Arial" w:cs="Arial"/>
          <w:sz w:val="20"/>
          <w:szCs w:val="20"/>
        </w:rPr>
        <w:t>the investor grantor must have gifted the interests to the trust or entity, or the trust holding the interests must have come from the grantor investor.  </w:t>
      </w:r>
    </w:p>
    <w:p w:rsidR="00652160" w:rsidRDefault="00652160" w:rsidP="00C60E46">
      <w:pPr>
        <w:pStyle w:val="ListParagraph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Rule 3(c</w:t>
      </w:r>
      <w:proofErr w:type="gramStart"/>
      <w:r>
        <w:rPr>
          <w:rFonts w:ascii="Arial" w:hAnsi="Arial" w:cs="Arial"/>
          <w:sz w:val="20"/>
          <w:szCs w:val="20"/>
        </w:rPr>
        <w:t>)(</w:t>
      </w:r>
      <w:proofErr w:type="gramEnd"/>
      <w:r>
        <w:rPr>
          <w:rFonts w:ascii="Arial" w:hAnsi="Arial" w:cs="Arial"/>
          <w:sz w:val="20"/>
          <w:szCs w:val="20"/>
        </w:rPr>
        <w:t>6)</w:t>
      </w:r>
    </w:p>
    <w:p w:rsidR="00C60E46" w:rsidRDefault="00C60E46" w:rsidP="00C60E46">
      <w:pPr>
        <w:pStyle w:val="ListParagraph"/>
        <w:ind w:left="2160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652160" w:rsidRDefault="00652160" w:rsidP="0065216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parent, grantor, must still have investment discretion over the trust or the child’s account in order to </w:t>
      </w:r>
      <w:r w:rsidR="00C60E46">
        <w:rPr>
          <w:rFonts w:ascii="Arial" w:hAnsi="Arial" w:cs="Arial"/>
          <w:sz w:val="20"/>
          <w:szCs w:val="20"/>
        </w:rPr>
        <w:t xml:space="preserve">exclude the trust from the </w:t>
      </w:r>
      <w:r>
        <w:rPr>
          <w:rFonts w:ascii="Arial" w:hAnsi="Arial" w:cs="Arial"/>
          <w:sz w:val="20"/>
          <w:szCs w:val="20"/>
        </w:rPr>
        <w:t>count.  [Not 100% sure about this portion of the rule, need to research further</w:t>
      </w:r>
      <w:r w:rsidR="00C60E46">
        <w:rPr>
          <w:rFonts w:ascii="Arial" w:hAnsi="Arial" w:cs="Arial"/>
          <w:sz w:val="20"/>
          <w:szCs w:val="20"/>
        </w:rPr>
        <w:t xml:space="preserve"> if you have facts that come under this rule</w:t>
      </w:r>
      <w:r>
        <w:rPr>
          <w:rFonts w:ascii="Arial" w:hAnsi="Arial" w:cs="Arial"/>
          <w:sz w:val="20"/>
          <w:szCs w:val="20"/>
        </w:rPr>
        <w:t>]</w:t>
      </w:r>
    </w:p>
    <w:p w:rsidR="00C60E46" w:rsidRDefault="00C60E46" w:rsidP="00C60E46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652160" w:rsidRDefault="00652160" w:rsidP="00652160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the trust or the investment interest is owned by an adult child who makes their own investment decisions, then you must count the adult child as an investor.</w:t>
      </w:r>
    </w:p>
    <w:p w:rsidR="00C60E46" w:rsidRDefault="00C60E46" w:rsidP="00C60E46">
      <w:pPr>
        <w:pStyle w:val="ListParagraph"/>
        <w:ind w:left="2160"/>
        <w:rPr>
          <w:rFonts w:ascii="Arial" w:hAnsi="Arial" w:cs="Arial"/>
          <w:sz w:val="20"/>
          <w:szCs w:val="20"/>
        </w:rPr>
      </w:pPr>
    </w:p>
    <w:p w:rsidR="00652160" w:rsidRDefault="00652160" w:rsidP="00652160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a separate trustee makes the investment decisions</w:t>
      </w:r>
      <w:r w:rsidR="00C60E46">
        <w:rPr>
          <w:rFonts w:ascii="Arial" w:hAnsi="Arial" w:cs="Arial"/>
          <w:sz w:val="20"/>
          <w:szCs w:val="20"/>
        </w:rPr>
        <w:t xml:space="preserve"> for the child’s trust</w:t>
      </w:r>
      <w:r>
        <w:rPr>
          <w:rFonts w:ascii="Arial" w:hAnsi="Arial" w:cs="Arial"/>
          <w:sz w:val="20"/>
          <w:szCs w:val="20"/>
        </w:rPr>
        <w:t>, then you must count the child as an investor.</w:t>
      </w:r>
    </w:p>
    <w:p w:rsidR="00652160" w:rsidRDefault="00652160" w:rsidP="00652160">
      <w:pPr>
        <w:rPr>
          <w:rFonts w:ascii="Arial" w:hAnsi="Arial" w:cs="Arial"/>
          <w:sz w:val="20"/>
          <w:szCs w:val="20"/>
        </w:rPr>
      </w:pPr>
    </w:p>
    <w:p w:rsidR="00652160" w:rsidRDefault="00652160" w:rsidP="006521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will flesh this out with citations to Rules and Sec Releases in a full memo. I will clarify whether the grantor must still have control over a trust in order to exclude the trust from the count.</w:t>
      </w:r>
    </w:p>
    <w:p w:rsidR="00652160" w:rsidRDefault="00652160" w:rsidP="00652160">
      <w:pPr>
        <w:rPr>
          <w:rFonts w:ascii="Arial" w:hAnsi="Arial" w:cs="Arial"/>
          <w:sz w:val="20"/>
          <w:szCs w:val="20"/>
        </w:rPr>
      </w:pPr>
    </w:p>
    <w:p w:rsidR="00652160" w:rsidRDefault="00652160" w:rsidP="006521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But I know you are anxious to know the bullet points of the counting rules. So I’ve provided to you here, the rest of the rules.</w:t>
      </w:r>
    </w:p>
    <w:p w:rsidR="00652160" w:rsidRDefault="00652160" w:rsidP="00652160">
      <w:pPr>
        <w:rPr>
          <w:rFonts w:ascii="Arial" w:hAnsi="Arial" w:cs="Arial"/>
          <w:color w:val="0000FF"/>
          <w:sz w:val="20"/>
          <w:szCs w:val="20"/>
        </w:rPr>
      </w:pPr>
    </w:p>
    <w:p w:rsidR="00652160" w:rsidRDefault="00652160" w:rsidP="00652160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************************************** </w:t>
      </w:r>
    </w:p>
    <w:p w:rsidR="00652160" w:rsidRDefault="00652160" w:rsidP="00652160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Nancy Fallon-Houle </w:t>
      </w:r>
    </w:p>
    <w:p w:rsidR="00652160" w:rsidRDefault="00652160" w:rsidP="00652160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Business, Corporate &amp; Securities Lawyer</w:t>
      </w:r>
    </w:p>
    <w:p w:rsidR="00652160" w:rsidRDefault="00652160" w:rsidP="00652160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Nancy Fallon-Houle, P.C. </w:t>
      </w:r>
    </w:p>
    <w:p w:rsidR="00652160" w:rsidRDefault="00652160" w:rsidP="00652160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5449 Bending Oaks Place </w:t>
      </w:r>
    </w:p>
    <w:p w:rsidR="00652160" w:rsidRDefault="00652160" w:rsidP="00652160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Downers Grove, IL  60515-4456 </w:t>
      </w:r>
    </w:p>
    <w:p w:rsidR="00652160" w:rsidRDefault="00652160" w:rsidP="00652160">
      <w:pPr>
        <w:rPr>
          <w:rFonts w:ascii="Arial" w:hAnsi="Arial" w:cs="Arial"/>
          <w:color w:val="0000FF"/>
          <w:sz w:val="20"/>
          <w:szCs w:val="20"/>
        </w:rPr>
      </w:pP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nfallon@nfhlaw.com</w:t>
        </w:r>
      </w:hyperlink>
    </w:p>
    <w:p w:rsidR="00652160" w:rsidRDefault="00652160" w:rsidP="00652160">
      <w:pPr>
        <w:rPr>
          <w:rFonts w:ascii="Arial" w:hAnsi="Arial" w:cs="Arial"/>
          <w:color w:val="0000FF"/>
          <w:sz w:val="20"/>
          <w:szCs w:val="20"/>
        </w:rPr>
      </w:pP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www.nfhlaw.com</w:t>
        </w:r>
      </w:hyperlink>
    </w:p>
    <w:p w:rsidR="00652160" w:rsidRDefault="00652160" w:rsidP="006521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FF"/>
          <w:sz w:val="20"/>
          <w:szCs w:val="20"/>
        </w:rPr>
        <w:t>630-963-0439 x 22 phone</w:t>
      </w:r>
    </w:p>
    <w:bookmarkEnd w:id="0"/>
    <w:p w:rsidR="00652160" w:rsidRDefault="00652160" w:rsidP="00652160"/>
    <w:p w:rsidR="00A27113" w:rsidRDefault="00A27113"/>
    <w:sectPr w:rsidR="00A27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854C7"/>
    <w:multiLevelType w:val="hybridMultilevel"/>
    <w:tmpl w:val="D71E2B5C"/>
    <w:lvl w:ilvl="0" w:tplc="4484E0C0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60"/>
    <w:rsid w:val="00652160"/>
    <w:rsid w:val="00A27113"/>
    <w:rsid w:val="00C068C0"/>
    <w:rsid w:val="00C2314C"/>
    <w:rsid w:val="00C60E46"/>
    <w:rsid w:val="00CB21C2"/>
    <w:rsid w:val="00FC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160"/>
    <w:pPr>
      <w:spacing w:after="0" w:line="240" w:lineRule="auto"/>
    </w:pPr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21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216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160"/>
    <w:pPr>
      <w:spacing w:after="0" w:line="240" w:lineRule="auto"/>
    </w:pPr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21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216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fhlaw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fallon@nfhlaw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Fallon-Houle, Nancy</dc:creator>
  <cp:lastModifiedBy>Fallon-Houle, Nancy</cp:lastModifiedBy>
  <cp:revision>3</cp:revision>
  <dcterms:created xsi:type="dcterms:W3CDTF">2014-03-20T18:44:00Z</dcterms:created>
  <dcterms:modified xsi:type="dcterms:W3CDTF">2014-03-20T18:54:00Z</dcterms:modified>
</cp:coreProperties>
</file>